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36" w:type="pct"/>
        <w:jc w:val="center"/>
        <w:shd w:val="clear" w:color="auto" w:fill="E8E5DE"/>
        <w:tblCellMar>
          <w:left w:w="0" w:type="dxa"/>
          <w:right w:w="0" w:type="dxa"/>
        </w:tblCellMar>
        <w:tblLook w:val="04A0"/>
      </w:tblPr>
      <w:tblGrid>
        <w:gridCol w:w="9075"/>
      </w:tblGrid>
      <w:tr w:rsidR="00786ECD" w:rsidRPr="00786ECD" w:rsidTr="00786ECD">
        <w:trPr>
          <w:trHeight w:val="15262"/>
          <w:jc w:val="center"/>
        </w:trPr>
        <w:tc>
          <w:tcPr>
            <w:tcW w:w="9075" w:type="dxa"/>
            <w:tcBorders>
              <w:top w:val="nil"/>
            </w:tcBorders>
            <w:shd w:val="clear" w:color="auto" w:fill="E8E5DE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075"/>
            </w:tblGrid>
            <w:tr w:rsidR="00786ECD" w:rsidRPr="00786ECD" w:rsidTr="00786ECD">
              <w:trPr>
                <w:trHeight w:val="784"/>
                <w:jc w:val="center"/>
              </w:trPr>
              <w:tc>
                <w:tcPr>
                  <w:tcW w:w="0" w:type="auto"/>
                  <w:tcBorders>
                    <w:top w:val="nil"/>
                    <w:bottom w:val="nil"/>
                  </w:tcBorders>
                  <w:tcMar>
                    <w:top w:w="3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75"/>
                  </w:tblGrid>
                  <w:tr w:rsidR="00786ECD" w:rsidRPr="00786ECD" w:rsidTr="00786ECD">
                    <w:trPr>
                      <w:trHeight w:val="784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75"/>
                        </w:tblGrid>
                        <w:tr w:rsidR="00786ECD" w:rsidRPr="00786ECD" w:rsidTr="00786ECD">
                          <w:trPr>
                            <w:trHeight w:val="120"/>
                          </w:trPr>
                          <w:tc>
                            <w:tcPr>
                              <w:tcW w:w="0" w:type="auto"/>
                              <w:tcMar>
                                <w:top w:w="135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786ECD" w:rsidRPr="00786ECD" w:rsidRDefault="00786ECD" w:rsidP="00786E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</w:tc>
                        </w:tr>
                      </w:tbl>
                      <w:p w:rsidR="00786ECD" w:rsidRPr="00786ECD" w:rsidRDefault="00786ECD" w:rsidP="00786E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75"/>
                        </w:tblGrid>
                        <w:tr w:rsidR="00786ECD" w:rsidRPr="00786ECD" w:rsidTr="00786ECD">
                          <w:trPr>
                            <w:trHeight w:val="425"/>
                          </w:trPr>
                          <w:tc>
                            <w:tcPr>
                              <w:tcW w:w="0" w:type="auto"/>
                              <w:tcMar>
                                <w:top w:w="135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75"/>
                              </w:tblGrid>
                              <w:tr w:rsidR="00786ECD" w:rsidRPr="00786ECD" w:rsidTr="00786ECD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70" w:type="dxa"/>
                                      <w:bottom w:w="135" w:type="dxa"/>
                                      <w:right w:w="270" w:type="dxa"/>
                                    </w:tcMar>
                                    <w:hideMark/>
                                  </w:tcPr>
                                  <w:p w:rsidR="00786ECD" w:rsidRPr="00786ECD" w:rsidRDefault="00786ECD" w:rsidP="00786ECD">
                                    <w:pPr>
                                      <w:spacing w:after="0" w:line="203" w:lineRule="atLeast"/>
                                      <w:rPr>
                                        <w:rFonts w:ascii="Helvetica" w:eastAsia="Times New Roman" w:hAnsi="Helvetica" w:cs="Helvetica"/>
                                        <w:color w:val="656565"/>
                                        <w:sz w:val="14"/>
                                        <w:szCs w:val="14"/>
                                        <w:lang w:val="es-ES" w:eastAsia="es-E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86ECD" w:rsidRPr="00786ECD" w:rsidRDefault="00786ECD" w:rsidP="00786E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vanish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  <w:tbl>
                              <w:tblPr>
                                <w:tblpPr w:leftFromText="45" w:rightFromText="45" w:vertAnchor="text"/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75"/>
                              </w:tblGrid>
                              <w:tr w:rsidR="00786ECD" w:rsidRPr="00786ECD" w:rsidTr="00786ECD">
                                <w:trPr>
                                  <w:trHeight w:val="186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70" w:type="dxa"/>
                                      <w:bottom w:w="135" w:type="dxa"/>
                                      <w:right w:w="270" w:type="dxa"/>
                                    </w:tcMar>
                                    <w:hideMark/>
                                  </w:tcPr>
                                  <w:p w:rsidR="00786ECD" w:rsidRPr="00786ECD" w:rsidRDefault="00786ECD" w:rsidP="00786ECD">
                                    <w:pPr>
                                      <w:spacing w:after="0" w:line="203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656565"/>
                                        <w:sz w:val="14"/>
                                        <w:szCs w:val="14"/>
                                        <w:lang w:val="es-ES" w:eastAsia="es-ES"/>
                                      </w:rPr>
                                    </w:pPr>
                                    <w:hyperlink r:id="rId4" w:tgtFrame="_blank" w:history="1"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color w:val="FF0000"/>
                                          <w:sz w:val="14"/>
                                          <w:u w:val="single"/>
                                          <w:lang w:val="es-ES" w:eastAsia="es-ES"/>
                                        </w:rPr>
                                        <w:t xml:space="preserve">Clica aquí si no </w:t>
                                      </w:r>
                                      <w:proofErr w:type="spellStart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color w:val="FF0000"/>
                                          <w:sz w:val="14"/>
                                          <w:u w:val="single"/>
                                          <w:lang w:val="es-ES" w:eastAsia="es-ES"/>
                                        </w:rPr>
                                        <w:t>ho</w:t>
                                      </w:r>
                                      <w:proofErr w:type="spellEnd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color w:val="FF0000"/>
                                          <w:sz w:val="14"/>
                                          <w:u w:val="single"/>
                                          <w:lang w:val="es-ES" w:eastAsia="es-ES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color w:val="FF0000"/>
                                          <w:sz w:val="14"/>
                                          <w:u w:val="single"/>
                                          <w:lang w:val="es-ES" w:eastAsia="es-ES"/>
                                        </w:rPr>
                                        <w:t>veus</w:t>
                                      </w:r>
                                      <w:proofErr w:type="spellEnd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color w:val="FF0000"/>
                                          <w:sz w:val="14"/>
                                          <w:u w:val="single"/>
                                          <w:lang w:val="es-ES" w:eastAsia="es-ES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color w:val="FF0000"/>
                                          <w:sz w:val="14"/>
                                          <w:u w:val="single"/>
                                          <w:lang w:val="es-ES" w:eastAsia="es-ES"/>
                                        </w:rPr>
                                        <w:t>correctament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</w:tr>
                            </w:tbl>
                            <w:p w:rsidR="00786ECD" w:rsidRPr="00786ECD" w:rsidRDefault="00786ECD" w:rsidP="00786E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</w:tc>
                        </w:tr>
                      </w:tbl>
                      <w:p w:rsidR="00786ECD" w:rsidRPr="00786ECD" w:rsidRDefault="00786ECD" w:rsidP="00786E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86ECD" w:rsidRPr="00786ECD" w:rsidRDefault="00786ECD" w:rsidP="00786E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786ECD" w:rsidRPr="00786ECD" w:rsidTr="00786ECD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bottom w:val="nil"/>
                  </w:tcBorders>
                  <w:tcMar>
                    <w:top w:w="150" w:type="dxa"/>
                    <w:left w:w="0" w:type="dxa"/>
                    <w:bottom w:w="150" w:type="dxa"/>
                    <w:right w:w="0" w:type="dxa"/>
                  </w:tcMar>
                  <w:hideMark/>
                </w:tcPr>
                <w:p w:rsidR="00786ECD" w:rsidRPr="00786ECD" w:rsidRDefault="00786ECD" w:rsidP="00786E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786ECD" w:rsidRPr="00786ECD" w:rsidTr="00786ECD">
              <w:trPr>
                <w:trHeight w:val="126"/>
                <w:jc w:val="center"/>
                <w:hidden/>
              </w:trPr>
              <w:tc>
                <w:tcPr>
                  <w:tcW w:w="0" w:type="auto"/>
                  <w:tcBorders>
                    <w:top w:val="nil"/>
                    <w:bottom w:val="nil"/>
                  </w:tcBorders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75"/>
                  </w:tblGrid>
                  <w:tr w:rsidR="00786ECD" w:rsidRPr="00786ECD" w:rsidTr="00786ECD">
                    <w:trPr>
                      <w:trHeight w:val="127"/>
                      <w:jc w:val="center"/>
                      <w:hidden/>
                    </w:trPr>
                    <w:tc>
                      <w:tcPr>
                        <w:tcW w:w="0" w:type="auto"/>
                        <w:hideMark/>
                      </w:tcPr>
                      <w:p w:rsidR="00786ECD" w:rsidRPr="00786ECD" w:rsidRDefault="00786ECD" w:rsidP="00786E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  <w:tbl>
                        <w:tblPr>
                          <w:tblpPr w:leftFromText="45" w:rightFromText="45" w:vertAnchor="text"/>
                          <w:tblW w:w="4633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633"/>
                        </w:tblGrid>
                        <w:tr w:rsidR="00786ECD" w:rsidRPr="00786ECD" w:rsidTr="00786ECD">
                          <w:trPr>
                            <w:trHeight w:val="127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786ECD" w:rsidRPr="00786ECD" w:rsidRDefault="00786ECD" w:rsidP="00786E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</w:tc>
                        </w:tr>
                      </w:tbl>
                      <w:p w:rsidR="00786ECD" w:rsidRPr="00786ECD" w:rsidRDefault="00786ECD" w:rsidP="00786E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86ECD" w:rsidRPr="00786ECD" w:rsidRDefault="00786ECD" w:rsidP="00786E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786ECD" w:rsidRPr="00786ECD" w:rsidTr="00786ECD">
              <w:trPr>
                <w:trHeight w:val="10703"/>
                <w:jc w:val="center"/>
              </w:trPr>
              <w:tc>
                <w:tcPr>
                  <w:tcW w:w="0" w:type="auto"/>
                  <w:tcBorders>
                    <w:top w:val="nil"/>
                    <w:bottom w:val="nil"/>
                  </w:tcBorders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75"/>
                  </w:tblGrid>
                  <w:tr w:rsidR="00786ECD" w:rsidRPr="00786ECD" w:rsidTr="00786ECD">
                    <w:trPr>
                      <w:trHeight w:val="10703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75"/>
                        </w:tblGrid>
                        <w:tr w:rsidR="00786ECD" w:rsidRPr="00786ECD" w:rsidTr="00786ECD">
                          <w:trPr>
                            <w:trHeight w:val="3643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75"/>
                              </w:tblGrid>
                              <w:tr w:rsidR="00786ECD" w:rsidRPr="00786ECD" w:rsidTr="00786ECD">
                                <w:trPr>
                                  <w:trHeight w:val="3643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p w:rsidR="00786ECD" w:rsidRPr="00786ECD" w:rsidRDefault="00786ECD" w:rsidP="00786EC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val="es-ES" w:eastAsia="es-ES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color w:val="0000FF"/>
                                        <w:sz w:val="24"/>
                                        <w:szCs w:val="24"/>
                                        <w:lang w:val="es-ES" w:eastAsia="es-ES"/>
                                      </w:rPr>
                                      <w:drawing>
                                        <wp:anchor distT="0" distB="0" distL="114300" distR="114300" simplePos="0" relativeHeight="251658240" behindDoc="0" locked="0" layoutInCell="1" allowOverlap="1">
                                          <wp:simplePos x="0" y="0"/>
                                          <wp:positionH relativeFrom="column">
                                            <wp:posOffset>20320</wp:posOffset>
                                          </wp:positionH>
                                          <wp:positionV relativeFrom="paragraph">
                                            <wp:posOffset>-1905</wp:posOffset>
                                          </wp:positionV>
                                          <wp:extent cx="5667375" cy="2609850"/>
                                          <wp:effectExtent l="19050" t="0" r="9525" b="0"/>
                                          <wp:wrapSquare wrapText="bothSides"/>
                                          <wp:docPr id="3" name="Imagen 3" descr="https://gallery.mailchimp.com/ae61074c8ae20aa729f0d0498/images/5670acb8-385f-48a7-904e-ed5d49ef551f.jpg">
                                            <a:hlinkClick xmlns:a="http://schemas.openxmlformats.org/drawingml/2006/main" r:id="rId5" tgtFrame="&quot;_blank&quot;" tooltip="&quot;&quot;"/>
                                          </wp:docPr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 descr="https://gallery.mailchimp.com/ae61074c8ae20aa729f0d0498/images/5670acb8-385f-48a7-904e-ed5d49ef551f.jpg">
                                                    <a:hlinkClick r:id="rId5" tgtFrame="&quot;_blank&quot;" tooltip="&quot;&quot;"/>
                                                  </pic:cNvPr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667375" cy="2609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anchor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786ECD" w:rsidRPr="00786ECD" w:rsidRDefault="00786ECD" w:rsidP="00786E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</w:tc>
                        </w:tr>
                      </w:tbl>
                      <w:p w:rsidR="00786ECD" w:rsidRPr="00786ECD" w:rsidRDefault="00786ECD" w:rsidP="00786E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75"/>
                        </w:tblGrid>
                        <w:tr w:rsidR="00786ECD" w:rsidRPr="00786ECD" w:rsidTr="00786ECD">
                          <w:trPr>
                            <w:trHeight w:val="6940"/>
                          </w:trPr>
                          <w:tc>
                            <w:tcPr>
                              <w:tcW w:w="0" w:type="auto"/>
                              <w:tcMar>
                                <w:top w:w="135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75"/>
                              </w:tblGrid>
                              <w:tr w:rsidR="00786ECD" w:rsidRPr="00786ECD" w:rsidTr="00786ECD">
                                <w:trPr>
                                  <w:trHeight w:val="6820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70" w:type="dxa"/>
                                      <w:bottom w:w="135" w:type="dxa"/>
                                      <w:right w:w="270" w:type="dxa"/>
                                    </w:tcMar>
                                    <w:hideMark/>
                                  </w:tcPr>
                                  <w:p w:rsidR="00786ECD" w:rsidRPr="00786ECD" w:rsidRDefault="00786ECD" w:rsidP="00786ECD">
                                    <w:pPr>
                                      <w:spacing w:after="0" w:line="488" w:lineRule="atLeast"/>
                                      <w:jc w:val="center"/>
                                      <w:outlineLvl w:val="0"/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</w:pPr>
                                    <w:proofErr w:type="spellStart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>Inscriu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 xml:space="preserve">-te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>ja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 xml:space="preserve"> a #lanit2017!</w:t>
                                    </w:r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br/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>Preus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>especials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>fins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 xml:space="preserve"> al 22 de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4B96"/>
                                        <w:kern w:val="36"/>
                                        <w:sz w:val="39"/>
                                        <w:szCs w:val="39"/>
                                        <w:lang w:val="es-ES" w:eastAsia="es-ES"/>
                                      </w:rPr>
                                      <w:t>gener</w:t>
                                    </w:r>
                                    <w:proofErr w:type="spellEnd"/>
                                  </w:p>
                                  <w:p w:rsidR="00786ECD" w:rsidRDefault="00786ECD" w:rsidP="00786ECD">
                                    <w:pPr>
                                      <w:spacing w:before="150" w:after="150" w:line="360" w:lineRule="atLeast"/>
                                      <w:jc w:val="both"/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</w:pP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El </w:t>
                                    </w: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23 de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febrer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 2017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l’Auditori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 Barcelona</w:t>
                                    </w: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 (C/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Lepant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, 150)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acollirà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la </w:t>
                                    </w:r>
                                    <w:hyperlink r:id="rId7" w:tgtFrame="_blank" w:history="1"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 xml:space="preserve">22a </w:t>
                                      </w:r>
                                      <w:proofErr w:type="spellStart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>edició</w:t>
                                      </w:r>
                                      <w:proofErr w:type="spellEnd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 xml:space="preserve"> de la “Nit de les </w:t>
                                      </w:r>
                                      <w:proofErr w:type="spellStart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>Telecomunicacions</w:t>
                                      </w:r>
                                      <w:proofErr w:type="spellEnd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 xml:space="preserve"> i la Informàtica”</w:t>
                                      </w:r>
                                    </w:hyperlink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,</w:t>
                                    </w: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 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l’esdeveniment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referència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del sector TIC a Catalunya.</w:t>
                                    </w:r>
                                  </w:p>
                                  <w:p w:rsidR="00786ECD" w:rsidRDefault="00786ECD" w:rsidP="00786ECD">
                                    <w:pPr>
                                      <w:spacing w:before="150" w:after="150" w:line="360" w:lineRule="atLeast"/>
                                      <w:jc w:val="both"/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</w:pP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Per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cinquè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any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consecutiu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l’Associació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Catalana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d'Enginyers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 Telecomunicació (</w:t>
                                    </w:r>
                                    <w:hyperlink r:id="rId8" w:tgtFrame="_blank" w:history="1"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>Telecos.cat</w:t>
                                      </w:r>
                                    </w:hyperlink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) i el Col·legi Oficial d’Enginyeria en Informàtica (</w:t>
                                    </w:r>
                                    <w:hyperlink r:id="rId9" w:tgtFrame="_blank" w:history="1"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>COEINF</w:t>
                                      </w:r>
                                    </w:hyperlink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) 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uneixen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esforços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per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organitzar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conjuntament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aquesta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trobada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,</w:t>
                                    </w: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 que -una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setmana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abans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del Mobile World Congress-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inaugurarà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el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calendari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grans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activitats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relacionades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amb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les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Tecnologies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 la Informac</w:t>
                                    </w:r>
                                    <w:r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ió i la Comunicació del país. </w:t>
                                    </w:r>
                                  </w:p>
                                  <w:p w:rsidR="00786ECD" w:rsidRPr="00786ECD" w:rsidRDefault="00786ECD" w:rsidP="00786ECD">
                                    <w:pPr>
                                      <w:spacing w:before="150" w:after="150" w:line="360" w:lineRule="atLeast"/>
                                      <w:jc w:val="both"/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</w:pP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Si no et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vols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perdre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la </w:t>
                                    </w: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primera gran cita de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networking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l'any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entre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professionals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, empreses,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administració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pública,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universitats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associacions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i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institucions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del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món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TIC,</w:t>
                                    </w: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 no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esperis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més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i </w:t>
                                    </w:r>
                                    <w:hyperlink r:id="rId10" w:tgtFrame="_blank" w:history="1"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 xml:space="preserve">compra </w:t>
                                      </w:r>
                                      <w:proofErr w:type="spellStart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>ja</w:t>
                                      </w:r>
                                      <w:proofErr w:type="spellEnd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 xml:space="preserve"> la </w:t>
                                      </w:r>
                                      <w:proofErr w:type="spellStart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>teva</w:t>
                                      </w:r>
                                      <w:proofErr w:type="spellEnd"/>
                                      <w:r w:rsidRPr="00786ECD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FA9600"/>
                                          <w:sz w:val="20"/>
                                          <w:szCs w:val="20"/>
                                          <w:u w:val="single"/>
                                          <w:lang w:val="es-ES" w:eastAsia="es-ES"/>
                                        </w:rPr>
                                        <w:t xml:space="preserve"> entrada! </w:t>
                                      </w:r>
                                    </w:hyperlink>
                                  </w:p>
                                  <w:p w:rsidR="00786ECD" w:rsidRPr="00786ECD" w:rsidRDefault="00786ECD" w:rsidP="00786ECD">
                                    <w:pPr>
                                      <w:spacing w:before="150" w:after="150" w:line="360" w:lineRule="atLeast"/>
                                      <w:jc w:val="both"/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</w:pP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Fins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al 22 de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gener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oferim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descomptes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per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inscripció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anticipada</w:t>
                                    </w: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, a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més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de 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preus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especials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per a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associats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col·legiats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i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membres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d'entitats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col·laboradores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202020"/>
                                        <w:sz w:val="20"/>
                                        <w:szCs w:val="20"/>
                                        <w:lang w:val="es-ES" w:eastAsia="es-ES"/>
                                      </w:rPr>
                                      <w:t>!</w:t>
                                    </w:r>
                                  </w:p>
                                  <w:p w:rsidR="00786ECD" w:rsidRDefault="00786ECD" w:rsidP="00786ECD">
                                    <w:pPr>
                                      <w:spacing w:before="150" w:after="150" w:line="360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</w:pPr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  <w:t xml:space="preserve">No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  <w:t>ho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  <w:t>pensis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  <w:t>més</w:t>
                                    </w:r>
                                    <w:proofErr w:type="spellEnd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  <w:t>... Has de ser-</w:t>
                                    </w:r>
                                    <w:proofErr w:type="spell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  <w:t>hi</w:t>
                                    </w:r>
                                    <w:proofErr w:type="spellEnd"/>
                                    <w:proofErr w:type="gramStart"/>
                                    <w:r w:rsidRPr="00786ECD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FF8C00"/>
                                        <w:sz w:val="27"/>
                                        <w:lang w:val="es-ES" w:eastAsia="es-ES"/>
                                      </w:rPr>
                                      <w:t>!</w:t>
                                    </w:r>
                                    <w:proofErr w:type="gramEnd"/>
                                  </w:p>
                                  <w:p w:rsidR="00786ECD" w:rsidRPr="00786ECD" w:rsidRDefault="00786ECD" w:rsidP="00786ECD">
                                    <w:pPr>
                                      <w:spacing w:before="150" w:after="150" w:line="360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202020"/>
                                        <w:sz w:val="24"/>
                                        <w:szCs w:val="24"/>
                                        <w:lang w:val="es-ES" w:eastAsia="es-E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86ECD" w:rsidRPr="00786ECD" w:rsidRDefault="00786ECD" w:rsidP="00786E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</w:tc>
                        </w:tr>
                      </w:tbl>
                      <w:p w:rsidR="00786ECD" w:rsidRPr="00786ECD" w:rsidRDefault="00786ECD" w:rsidP="00786E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86ECD" w:rsidRPr="00786ECD" w:rsidRDefault="00786ECD" w:rsidP="00786E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786ECD" w:rsidRPr="00786ECD" w:rsidTr="00786ECD">
              <w:trPr>
                <w:trHeight w:val="1117"/>
                <w:jc w:val="center"/>
              </w:trPr>
              <w:tc>
                <w:tcPr>
                  <w:tcW w:w="0" w:type="auto"/>
                  <w:tcBorders>
                    <w:top w:val="nil"/>
                    <w:bottom w:val="nil"/>
                  </w:tcBorders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75"/>
                  </w:tblGrid>
                  <w:tr w:rsidR="00786ECD" w:rsidRPr="00786ECD" w:rsidTr="00786ECD">
                    <w:trPr>
                      <w:trHeight w:val="1117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pPr w:leftFromText="45" w:rightFromText="45" w:vertAnchor="text"/>
                          <w:tblW w:w="4633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633"/>
                        </w:tblGrid>
                        <w:tr w:rsidR="00786ECD" w:rsidRPr="00786ECD" w:rsidTr="00786ECD">
                          <w:trPr>
                            <w:trHeight w:val="877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4633"/>
                              </w:tblGrid>
                              <w:tr w:rsidR="00786ECD" w:rsidRPr="00786ECD" w:rsidTr="00786ECD">
                                <w:trPr>
                                  <w:trHeight w:val="638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70" w:type="dxa"/>
                                      <w:bottom w:w="270" w:type="dxa"/>
                                      <w:right w:w="27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3554" w:type="dxa"/>
                                      <w:jc w:val="center"/>
                                      <w:tblCellSpacing w:w="0" w:type="dxa"/>
                                      <w:shd w:val="clear" w:color="auto" w:fill="2BAADF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3554"/>
                                    </w:tblGrid>
                                    <w:tr w:rsidR="00786ECD" w:rsidRPr="00786ECD" w:rsidTr="00786ECD">
                                      <w:trPr>
                                        <w:trHeight w:val="239"/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2BAADF"/>
                                          <w:tcMar>
                                            <w:top w:w="225" w:type="dxa"/>
                                            <w:left w:w="225" w:type="dxa"/>
                                            <w:bottom w:w="225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786ECD" w:rsidRPr="00786ECD" w:rsidRDefault="00786ECD" w:rsidP="00786ECD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</w:pPr>
                                          <w:hyperlink r:id="rId11" w:tgtFrame="_blank" w:tooltip="Compra ja la teva entrada!" w:history="1">
                                            <w:r w:rsidRPr="00786ECD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FFFFFF"/>
                                                <w:sz w:val="24"/>
                                                <w:szCs w:val="24"/>
                                                <w:u w:val="single"/>
                                                <w:lang w:val="es-ES" w:eastAsia="es-ES"/>
                                              </w:rPr>
                                              <w:t xml:space="preserve">Compra </w:t>
                                            </w:r>
                                            <w:proofErr w:type="spellStart"/>
                                            <w:r w:rsidRPr="00786ECD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FFFFFF"/>
                                                <w:sz w:val="24"/>
                                                <w:szCs w:val="24"/>
                                                <w:u w:val="single"/>
                                                <w:lang w:val="es-ES" w:eastAsia="es-ES"/>
                                              </w:rPr>
                                              <w:t>ja</w:t>
                                            </w:r>
                                            <w:proofErr w:type="spellEnd"/>
                                            <w:r w:rsidRPr="00786ECD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FFFFFF"/>
                                                <w:sz w:val="24"/>
                                                <w:szCs w:val="24"/>
                                                <w:u w:val="single"/>
                                                <w:lang w:val="es-ES" w:eastAsia="es-ES"/>
                                              </w:rPr>
                                              <w:t xml:space="preserve"> la </w:t>
                                            </w:r>
                                            <w:proofErr w:type="spellStart"/>
                                            <w:r w:rsidRPr="00786ECD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FFFFFF"/>
                                                <w:sz w:val="24"/>
                                                <w:szCs w:val="24"/>
                                                <w:u w:val="single"/>
                                                <w:lang w:val="es-ES" w:eastAsia="es-ES"/>
                                              </w:rPr>
                                              <w:t>teva</w:t>
                                            </w:r>
                                            <w:proofErr w:type="spellEnd"/>
                                            <w:r w:rsidRPr="00786ECD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FFFFFF"/>
                                                <w:sz w:val="24"/>
                                                <w:szCs w:val="24"/>
                                                <w:u w:val="single"/>
                                                <w:lang w:val="es-ES" w:eastAsia="es-ES"/>
                                              </w:rPr>
                                              <w:t xml:space="preserve"> entrada</w:t>
                                            </w:r>
                                            <w:proofErr w:type="gramStart"/>
                                            <w:r w:rsidRPr="00786ECD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FFFFFF"/>
                                                <w:sz w:val="24"/>
                                                <w:szCs w:val="24"/>
                                                <w:u w:val="single"/>
                                                <w:lang w:val="es-ES" w:eastAsia="es-ES"/>
                                              </w:rPr>
                                              <w:t>!</w:t>
                                            </w:r>
                                            <w:proofErr w:type="gramEnd"/>
                                          </w:hyperlink>
                                        </w:p>
                                      </w:tc>
                                    </w:tr>
                                  </w:tbl>
                                  <w:p w:rsidR="00786ECD" w:rsidRPr="00786ECD" w:rsidRDefault="00786ECD" w:rsidP="00786EC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val="es-ES" w:eastAsia="es-E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86ECD" w:rsidRPr="00786ECD" w:rsidRDefault="00786ECD" w:rsidP="00786E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</w:tc>
                        </w:tr>
                      </w:tbl>
                      <w:p w:rsidR="00786ECD" w:rsidRPr="00786ECD" w:rsidRDefault="00786ECD" w:rsidP="00786E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  <w:tbl>
                        <w:tblPr>
                          <w:tblpPr w:leftFromText="45" w:rightFromText="45" w:vertAnchor="text"/>
                          <w:tblW w:w="4633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633"/>
                        </w:tblGrid>
                        <w:tr w:rsidR="00786ECD" w:rsidRPr="00786ECD" w:rsidTr="00786ECD">
                          <w:trPr>
                            <w:trHeight w:val="239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4633"/>
                              </w:tblGrid>
                              <w:tr w:rsidR="00786ECD" w:rsidRPr="00786ECD" w:rsidTr="00786ECD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70" w:type="dxa"/>
                                      <w:bottom w:w="270" w:type="dxa"/>
                                      <w:right w:w="270" w:type="dxa"/>
                                    </w:tcMar>
                                    <w:hideMark/>
                                  </w:tcPr>
                                  <w:p w:rsidR="00786ECD" w:rsidRPr="00786ECD" w:rsidRDefault="00786ECD" w:rsidP="00786EC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val="es-ES" w:eastAsia="es-E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86ECD" w:rsidRPr="00786ECD" w:rsidRDefault="00786ECD" w:rsidP="00786E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141" w:rightFromText="141" w:vertAnchor="text" w:horzAnchor="page" w:tblpX="4951" w:tblpY="-261"/>
                          <w:tblOverlap w:val="never"/>
                          <w:tblW w:w="2043" w:type="dxa"/>
                          <w:tblCellSpacing w:w="0" w:type="dxa"/>
                          <w:shd w:val="clear" w:color="auto" w:fill="2BAADF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043"/>
                        </w:tblGrid>
                        <w:tr w:rsidR="00786ECD" w:rsidRPr="00786ECD" w:rsidTr="00786ECD">
                          <w:trPr>
                            <w:trHeight w:val="239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2BAADF"/>
                              <w:tcMar>
                                <w:top w:w="225" w:type="dxa"/>
                                <w:left w:w="225" w:type="dxa"/>
                                <w:bottom w:w="225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p w:rsidR="00786ECD" w:rsidRPr="00786ECD" w:rsidRDefault="00786ECD" w:rsidP="00646D1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  <w:hyperlink r:id="rId12" w:tgtFrame="_blank" w:tooltip="www.lanit.cat" w:history="1">
                                <w:r w:rsidRPr="00786EC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>www.lanit.cat</w:t>
                                </w:r>
                              </w:hyperlink>
                            </w:p>
                          </w:tc>
                        </w:tr>
                      </w:tbl>
                      <w:p w:rsidR="00786ECD" w:rsidRPr="00786ECD" w:rsidRDefault="00786ECD" w:rsidP="00786E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86ECD" w:rsidRPr="00786ECD" w:rsidRDefault="00786ECD" w:rsidP="00786E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786ECD" w:rsidRPr="00786ECD" w:rsidTr="00786ECD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bottom w:val="nil"/>
                  </w:tcBorders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75"/>
                  </w:tblGrid>
                  <w:tr w:rsidR="00786ECD" w:rsidRPr="00786ECD" w:rsidTr="00786ECD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786ECD" w:rsidRPr="00786ECD" w:rsidRDefault="00786ECD" w:rsidP="00786E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86ECD" w:rsidRPr="00786ECD" w:rsidRDefault="00786ECD" w:rsidP="00786E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</w:tbl>
          <w:p w:rsidR="00786ECD" w:rsidRPr="00786ECD" w:rsidRDefault="00786ECD" w:rsidP="0078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</w:tbl>
    <w:p w:rsidR="00942076" w:rsidRDefault="00B80174"/>
    <w:sectPr w:rsidR="00942076" w:rsidSect="00786ECD">
      <w:pgSz w:w="11906" w:h="16838"/>
      <w:pgMar w:top="567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6ECD"/>
    <w:rsid w:val="000F0C2B"/>
    <w:rsid w:val="00137077"/>
    <w:rsid w:val="0064495E"/>
    <w:rsid w:val="00786ECD"/>
    <w:rsid w:val="007C1F42"/>
    <w:rsid w:val="00A949DC"/>
    <w:rsid w:val="00AB7030"/>
    <w:rsid w:val="00B80174"/>
    <w:rsid w:val="00CC3E8B"/>
    <w:rsid w:val="00D76C5D"/>
    <w:rsid w:val="00E43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B8"/>
    <w:rPr>
      <w:lang w:val="ca-ES"/>
    </w:rPr>
  </w:style>
  <w:style w:type="paragraph" w:styleId="Ttulo1">
    <w:name w:val="heading 1"/>
    <w:basedOn w:val="Normal"/>
    <w:link w:val="Ttulo1Car"/>
    <w:uiPriority w:val="9"/>
    <w:qFormat/>
    <w:rsid w:val="00786E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86EC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86EC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786ECD"/>
  </w:style>
  <w:style w:type="character" w:styleId="Textoennegrita">
    <w:name w:val="Strong"/>
    <w:basedOn w:val="Fuentedeprrafopredeter"/>
    <w:uiPriority w:val="22"/>
    <w:qFormat/>
    <w:rsid w:val="00786EC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6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6ECD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lecos.cat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anit.cat/" TargetMode="External"/><Relationship Id="rId12" Type="http://schemas.openxmlformats.org/officeDocument/2006/relationships/hyperlink" Target="http://lanit.ca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inscripcions.lanit.cat/" TargetMode="External"/><Relationship Id="rId5" Type="http://schemas.openxmlformats.org/officeDocument/2006/relationships/hyperlink" Target="http://www.lanit.cat/" TargetMode="External"/><Relationship Id="rId10" Type="http://schemas.openxmlformats.org/officeDocument/2006/relationships/hyperlink" Target="https://inscripcions.lanit.cat/" TargetMode="External"/><Relationship Id="rId4" Type="http://schemas.openxmlformats.org/officeDocument/2006/relationships/hyperlink" Target="http://us4.campaign-archive1.com/?u=ae61074c8ae20aa729f0d0498&amp;id=e6a26c50c7&amp;e=%5bUNIQID%5d" TargetMode="External"/><Relationship Id="rId9" Type="http://schemas.openxmlformats.org/officeDocument/2006/relationships/hyperlink" Target="http://enginyeriainformatica.ca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Sònia Maza</dc:creator>
  <cp:lastModifiedBy>Sònia Maza</cp:lastModifiedBy>
  <cp:revision>1</cp:revision>
  <dcterms:created xsi:type="dcterms:W3CDTF">2016-12-15T12:14:00Z</dcterms:created>
  <dcterms:modified xsi:type="dcterms:W3CDTF">2016-12-15T12:27:00Z</dcterms:modified>
</cp:coreProperties>
</file>